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4" w:type="dxa"/>
        <w:tblLook w:val="04A0" w:firstRow="1" w:lastRow="0" w:firstColumn="1" w:lastColumn="0" w:noHBand="0" w:noVBand="1"/>
      </w:tblPr>
      <w:tblGrid>
        <w:gridCol w:w="5671"/>
        <w:gridCol w:w="1275"/>
        <w:gridCol w:w="3119"/>
      </w:tblGrid>
      <w:tr w:rsidR="00057DD5" w:rsidTr="00733E9E">
        <w:tc>
          <w:tcPr>
            <w:tcW w:w="5671" w:type="dxa"/>
            <w:vMerge w:val="restart"/>
          </w:tcPr>
          <w:p w:rsidR="00057DD5" w:rsidRDefault="00057DD5" w:rsidP="00733E9E">
            <w:pPr>
              <w:spacing w:after="20"/>
              <w:rPr>
                <w:noProof/>
              </w:rPr>
            </w:pPr>
            <w:r>
              <w:rPr>
                <w:noProof/>
              </w:rPr>
              <w:t>Caroline Stead</w:t>
            </w:r>
          </w:p>
          <w:p w:rsidR="00057DD5" w:rsidRDefault="00057DD5" w:rsidP="00733E9E">
            <w:pPr>
              <w:spacing w:after="20"/>
              <w:rPr>
                <w:noProof/>
              </w:rPr>
            </w:pPr>
            <w:r>
              <w:rPr>
                <w:noProof/>
              </w:rPr>
              <w:t>Senior Manager</w:t>
            </w:r>
          </w:p>
          <w:p w:rsidR="00057DD5" w:rsidRDefault="00057DD5" w:rsidP="00733E9E">
            <w:pPr>
              <w:spacing w:after="20"/>
              <w:rPr>
                <w:noProof/>
              </w:rPr>
            </w:pPr>
            <w:r>
              <w:rPr>
                <w:noProof/>
              </w:rPr>
              <w:t>Grant Thornton UK LLP</w:t>
            </w:r>
          </w:p>
          <w:p w:rsidR="00057DD5" w:rsidRDefault="00057DD5" w:rsidP="00733E9E">
            <w:pPr>
              <w:spacing w:after="20"/>
              <w:rPr>
                <w:noProof/>
              </w:rPr>
            </w:pPr>
            <w:r>
              <w:rPr>
                <w:noProof/>
              </w:rPr>
              <w:t>4 Hardman Square</w:t>
            </w:r>
          </w:p>
          <w:p w:rsidR="00057DD5" w:rsidRDefault="00057DD5" w:rsidP="00733E9E">
            <w:pPr>
              <w:spacing w:after="20"/>
              <w:rPr>
                <w:noProof/>
              </w:rPr>
            </w:pPr>
            <w:r>
              <w:rPr>
                <w:noProof/>
              </w:rPr>
              <w:t>Spinningfields</w:t>
            </w:r>
          </w:p>
          <w:p w:rsidR="00057DD5" w:rsidRDefault="00057DD5" w:rsidP="00733E9E">
            <w:pPr>
              <w:spacing w:after="20"/>
              <w:rPr>
                <w:noProof/>
              </w:rPr>
            </w:pPr>
            <w:r>
              <w:rPr>
                <w:noProof/>
              </w:rPr>
              <w:t>Manchester M3 3EB</w:t>
            </w:r>
          </w:p>
        </w:tc>
        <w:tc>
          <w:tcPr>
            <w:tcW w:w="1275" w:type="dxa"/>
          </w:tcPr>
          <w:p w:rsidR="00057DD5" w:rsidRDefault="00057DD5" w:rsidP="00733E9E">
            <w:pPr>
              <w:spacing w:after="20"/>
            </w:pPr>
            <w:r>
              <w:t>Phone:</w:t>
            </w:r>
          </w:p>
        </w:tc>
        <w:tc>
          <w:tcPr>
            <w:tcW w:w="3119" w:type="dxa"/>
          </w:tcPr>
          <w:p w:rsidR="00057DD5" w:rsidRDefault="00057DD5" w:rsidP="00057DD5">
            <w:pPr>
              <w:spacing w:after="20"/>
            </w:pPr>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r>
              <w:t>Fax:</w:t>
            </w:r>
          </w:p>
        </w:tc>
        <w:tc>
          <w:tcPr>
            <w:tcW w:w="3119" w:type="dxa"/>
          </w:tcPr>
          <w:p w:rsidR="00057DD5" w:rsidRDefault="00057DD5" w:rsidP="00733E9E">
            <w:pPr>
              <w:spacing w:after="20"/>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r>
              <w:t>Email:</w:t>
            </w:r>
          </w:p>
        </w:tc>
        <w:tc>
          <w:tcPr>
            <w:tcW w:w="3119" w:type="dxa"/>
          </w:tcPr>
          <w:p w:rsidR="00057DD5" w:rsidRDefault="00057DD5" w:rsidP="00733E9E">
            <w:pPr>
              <w:spacing w:after="20"/>
            </w:pPr>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p>
        </w:tc>
        <w:tc>
          <w:tcPr>
            <w:tcW w:w="3119" w:type="dxa"/>
          </w:tcPr>
          <w:p w:rsidR="00057DD5" w:rsidRDefault="00057DD5" w:rsidP="00733E9E">
            <w:pPr>
              <w:spacing w:after="20"/>
            </w:pPr>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r>
              <w:t>Your ref:</w:t>
            </w:r>
          </w:p>
        </w:tc>
        <w:tc>
          <w:tcPr>
            <w:tcW w:w="3119" w:type="dxa"/>
          </w:tcPr>
          <w:p w:rsidR="00057DD5" w:rsidRDefault="00057DD5" w:rsidP="00733E9E">
            <w:pPr>
              <w:spacing w:after="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r>
              <w:t>Our ref:</w:t>
            </w:r>
          </w:p>
        </w:tc>
        <w:tc>
          <w:tcPr>
            <w:tcW w:w="3119" w:type="dxa"/>
          </w:tcPr>
          <w:p w:rsidR="00057DD5" w:rsidRDefault="00057DD5" w:rsidP="00733E9E">
            <w:pPr>
              <w:spacing w:after="20"/>
            </w:pPr>
          </w:p>
        </w:tc>
      </w:tr>
      <w:tr w:rsidR="00057DD5" w:rsidTr="00733E9E">
        <w:tc>
          <w:tcPr>
            <w:tcW w:w="5671" w:type="dxa"/>
            <w:vMerge/>
          </w:tcPr>
          <w:p w:rsidR="00057DD5" w:rsidRDefault="00057DD5" w:rsidP="00733E9E">
            <w:pPr>
              <w:spacing w:after="20"/>
            </w:pPr>
          </w:p>
        </w:tc>
        <w:tc>
          <w:tcPr>
            <w:tcW w:w="1275" w:type="dxa"/>
          </w:tcPr>
          <w:p w:rsidR="00057DD5" w:rsidRDefault="00057DD5" w:rsidP="00733E9E">
            <w:pPr>
              <w:spacing w:after="20"/>
            </w:pPr>
            <w:r>
              <w:t>Date:</w:t>
            </w:r>
          </w:p>
        </w:tc>
        <w:tc>
          <w:tcPr>
            <w:tcW w:w="3119" w:type="dxa"/>
          </w:tcPr>
          <w:p w:rsidR="00057DD5" w:rsidRDefault="00057DD5" w:rsidP="00733E9E">
            <w:pPr>
              <w:spacing w:after="20"/>
            </w:pPr>
            <w:r>
              <w:t>30 June 2015</w:t>
            </w:r>
          </w:p>
        </w:tc>
      </w:tr>
    </w:tbl>
    <w:p w:rsidR="00057DD5" w:rsidRDefault="00057DD5" w:rsidP="00057DD5">
      <w:pPr>
        <w:spacing w:after="0" w:line="240" w:lineRule="auto"/>
      </w:pPr>
    </w:p>
    <w:p w:rsidR="00057DD5" w:rsidRDefault="00057DD5" w:rsidP="00057DD5">
      <w:pPr>
        <w:spacing w:after="0" w:line="240" w:lineRule="auto"/>
      </w:pPr>
    </w:p>
    <w:p w:rsidR="00057DD5" w:rsidRDefault="00057DD5" w:rsidP="00057DD5">
      <w:pPr>
        <w:spacing w:after="0" w:line="240" w:lineRule="auto"/>
      </w:pPr>
    </w:p>
    <w:p w:rsidR="00057DD5" w:rsidRDefault="00057DD5" w:rsidP="00057DD5">
      <w:r>
        <w:t>Dear Ms Stead</w:t>
      </w:r>
    </w:p>
    <w:p w:rsidR="00057DD5" w:rsidRPr="00972E26" w:rsidRDefault="00057DD5" w:rsidP="00057DD5">
      <w:pPr>
        <w:pStyle w:val="Ruth-documenttitle"/>
        <w:rPr>
          <w:rFonts w:ascii="Arial" w:hAnsi="Arial" w:cs="Arial"/>
          <w:sz w:val="24"/>
          <w:szCs w:val="24"/>
        </w:rPr>
      </w:pPr>
      <w:r w:rsidRPr="00972E26">
        <w:rPr>
          <w:rFonts w:ascii="Arial" w:hAnsi="Arial" w:cs="Arial"/>
          <w:sz w:val="24"/>
          <w:szCs w:val="24"/>
        </w:rPr>
        <w:t xml:space="preserve">Response of the Chair of the Audit and Governance Committee to Grant Thornton's request for information to support its compliance with International Standards on Auditing </w:t>
      </w:r>
    </w:p>
    <w:p w:rsidR="00057DD5" w:rsidRPr="00972E26" w:rsidRDefault="00057DD5" w:rsidP="00057DD5">
      <w:pPr>
        <w:pStyle w:val="Ruth-numberedparargraph"/>
        <w:numPr>
          <w:ilvl w:val="0"/>
          <w:numId w:val="0"/>
        </w:numPr>
        <w:rPr>
          <w:rFonts w:ascii="Arial" w:hAnsi="Arial" w:cs="Arial"/>
        </w:rPr>
      </w:pPr>
      <w:r w:rsidRPr="00972E26">
        <w:rPr>
          <w:rFonts w:ascii="Arial" w:hAnsi="Arial" w:cs="Arial"/>
        </w:rPr>
        <w:t xml:space="preserve">The Audit and Governance Committee and I have considered your request for information to enable you to comply with International Standards on Auditing </w:t>
      </w:r>
      <w:r>
        <w:rPr>
          <w:rFonts w:ascii="Arial" w:hAnsi="Arial" w:cs="Arial"/>
        </w:rPr>
        <w:t xml:space="preserve">in respect of </w:t>
      </w:r>
      <w:r w:rsidRPr="00972E26">
        <w:rPr>
          <w:rFonts w:ascii="Arial" w:hAnsi="Arial" w:cs="Arial"/>
        </w:rPr>
        <w:t>Lancashire County Council</w:t>
      </w:r>
      <w:r>
        <w:rPr>
          <w:rFonts w:ascii="Arial" w:hAnsi="Arial" w:cs="Arial"/>
        </w:rPr>
        <w:t>'s</w:t>
      </w:r>
      <w:r w:rsidRPr="00972E26">
        <w:rPr>
          <w:rFonts w:ascii="Arial" w:hAnsi="Arial" w:cs="Arial"/>
        </w:rPr>
        <w:t xml:space="preserve"> and </w:t>
      </w:r>
      <w:r>
        <w:rPr>
          <w:rFonts w:ascii="Arial" w:hAnsi="Arial" w:cs="Arial"/>
        </w:rPr>
        <w:t xml:space="preserve">the </w:t>
      </w:r>
      <w:r w:rsidRPr="00972E26">
        <w:rPr>
          <w:rFonts w:ascii="Arial" w:hAnsi="Arial" w:cs="Arial"/>
        </w:rPr>
        <w:t>Lancashire Pension Fund</w:t>
      </w:r>
      <w:r>
        <w:rPr>
          <w:rFonts w:ascii="Arial" w:hAnsi="Arial" w:cs="Arial"/>
        </w:rPr>
        <w:t>'s</w:t>
      </w:r>
      <w:r w:rsidRPr="00972E26">
        <w:rPr>
          <w:rFonts w:ascii="Arial" w:hAnsi="Arial" w:cs="Arial"/>
        </w:rPr>
        <w:t xml:space="preserve"> </w:t>
      </w:r>
      <w:r>
        <w:rPr>
          <w:rFonts w:ascii="Arial" w:hAnsi="Arial" w:cs="Arial"/>
        </w:rPr>
        <w:t>f</w:t>
      </w:r>
      <w:r w:rsidRPr="00972E26">
        <w:rPr>
          <w:rFonts w:ascii="Arial" w:hAnsi="Arial" w:cs="Arial"/>
        </w:rPr>
        <w:t xml:space="preserve">inancial </w:t>
      </w:r>
      <w:r>
        <w:rPr>
          <w:rFonts w:ascii="Arial" w:hAnsi="Arial" w:cs="Arial"/>
        </w:rPr>
        <w:t>s</w:t>
      </w:r>
      <w:r w:rsidRPr="00972E26">
        <w:rPr>
          <w:rFonts w:ascii="Arial" w:hAnsi="Arial" w:cs="Arial"/>
        </w:rPr>
        <w:t>tatements for the year end</w:t>
      </w:r>
      <w:r>
        <w:rPr>
          <w:rFonts w:ascii="Arial" w:hAnsi="Arial" w:cs="Arial"/>
        </w:rPr>
        <w:t>ed</w:t>
      </w:r>
      <w:r w:rsidRPr="00972E26">
        <w:rPr>
          <w:rFonts w:ascii="Arial" w:hAnsi="Arial" w:cs="Arial"/>
        </w:rPr>
        <w:t xml:space="preserve"> 31 March 2015</w:t>
      </w:r>
      <w:r>
        <w:rPr>
          <w:rFonts w:ascii="Arial" w:hAnsi="Arial" w:cs="Arial"/>
        </w:rPr>
        <w:t xml:space="preserve">. The </w:t>
      </w:r>
      <w:r w:rsidRPr="00972E26">
        <w:rPr>
          <w:rFonts w:ascii="Arial" w:hAnsi="Arial" w:cs="Arial"/>
        </w:rPr>
        <w:t>committee has approved the following response.</w:t>
      </w:r>
    </w:p>
    <w:p w:rsidR="00057DD5" w:rsidRPr="00972E26" w:rsidRDefault="00057DD5" w:rsidP="00057DD5">
      <w:pPr>
        <w:pStyle w:val="Ruth-headingnumbered"/>
        <w:numPr>
          <w:ilvl w:val="0"/>
          <w:numId w:val="2"/>
        </w:numPr>
        <w:ind w:left="709" w:hanging="709"/>
        <w:rPr>
          <w:rFonts w:ascii="Arial" w:hAnsi="Arial" w:cs="Arial"/>
          <w:sz w:val="24"/>
          <w:szCs w:val="24"/>
        </w:rPr>
      </w:pPr>
      <w:r w:rsidRPr="00972E26">
        <w:rPr>
          <w:rFonts w:ascii="Arial" w:hAnsi="Arial" w:cs="Arial"/>
          <w:sz w:val="24"/>
          <w:szCs w:val="24"/>
        </w:rPr>
        <w:t>Your requirements</w:t>
      </w:r>
    </w:p>
    <w:p w:rsidR="00057DD5" w:rsidRPr="00972E26" w:rsidRDefault="00057DD5" w:rsidP="00057DD5">
      <w:pPr>
        <w:pStyle w:val="Ruth-numberedparargraph"/>
        <w:ind w:left="709" w:hanging="709"/>
        <w:rPr>
          <w:rFonts w:ascii="Arial" w:hAnsi="Arial" w:cs="Arial"/>
        </w:rPr>
      </w:pPr>
      <w:r w:rsidRPr="00972E26">
        <w:rPr>
          <w:rFonts w:ascii="Arial" w:hAnsi="Arial" w:cs="Arial"/>
        </w:rPr>
        <w:t>Grant Thornton is obliged to comply with International Auditing Standards. In particular each year it is required to confirm their understanding of how the Audit and Governance Committee gains assurance over specific management processes and arrangements.</w:t>
      </w:r>
    </w:p>
    <w:p w:rsidR="00057DD5" w:rsidRPr="00972E26" w:rsidRDefault="00057DD5" w:rsidP="00057DD5">
      <w:pPr>
        <w:pStyle w:val="Ruth-headingnumbered"/>
        <w:ind w:left="709" w:hanging="709"/>
        <w:rPr>
          <w:rFonts w:ascii="Arial" w:hAnsi="Arial" w:cs="Arial"/>
          <w:sz w:val="24"/>
          <w:szCs w:val="24"/>
        </w:rPr>
      </w:pPr>
      <w:r w:rsidRPr="00972E26">
        <w:rPr>
          <w:rFonts w:ascii="Arial" w:hAnsi="Arial" w:cs="Arial"/>
          <w:sz w:val="24"/>
          <w:szCs w:val="24"/>
        </w:rPr>
        <w:t>How does the Audit and Governance Committee oversee management's processes identifying and responding to the risks of fraud in the entity and the internal control that management has established to mitigate these risks?</w:t>
      </w:r>
    </w:p>
    <w:p w:rsidR="00057DD5" w:rsidRPr="00972E26" w:rsidRDefault="00057DD5" w:rsidP="00057DD5">
      <w:pPr>
        <w:pStyle w:val="Ruth-numberedparargraph"/>
        <w:ind w:left="709" w:hanging="709"/>
        <w:rPr>
          <w:rFonts w:ascii="Arial" w:hAnsi="Arial" w:cs="Arial"/>
        </w:rPr>
      </w:pPr>
      <w:r w:rsidRPr="00972E26">
        <w:rPr>
          <w:rFonts w:ascii="Arial" w:hAnsi="Arial" w:cs="Arial"/>
        </w:rPr>
        <w:t>The Audit and Governance Committee takes seriously its role in reviewing Lancashire County Council's and Lancashire Pension Fund internal control effectiveness, including financial control arrangements and compliance with the law. It values its independence of both the executive and scrutiny functions and its direct reporting line to the council. It is also charged with oversight of the overall arrangements by which the risk of fraud is managed.</w:t>
      </w:r>
    </w:p>
    <w:p w:rsidR="00057DD5" w:rsidRPr="00972E26" w:rsidRDefault="00057DD5" w:rsidP="00057DD5">
      <w:pPr>
        <w:pStyle w:val="Ruth-numberedparargraph"/>
        <w:ind w:left="709" w:hanging="709"/>
        <w:rPr>
          <w:rFonts w:ascii="Arial" w:hAnsi="Arial" w:cs="Arial"/>
        </w:rPr>
      </w:pPr>
      <w:r w:rsidRPr="00972E26">
        <w:rPr>
          <w:rFonts w:ascii="Arial" w:hAnsi="Arial" w:cs="Arial"/>
        </w:rPr>
        <w:t xml:space="preserve">The Audit and Governance Committee receives information about instances of financial impropriety and fraud as well as breaches of control within the Internal Audit Service's regular progress reports and annual report. </w:t>
      </w:r>
    </w:p>
    <w:p w:rsidR="00057DD5" w:rsidRPr="00972E26" w:rsidRDefault="00057DD5" w:rsidP="00057DD5">
      <w:pPr>
        <w:pStyle w:val="Ruth-numberedparargraph"/>
        <w:ind w:left="709" w:hanging="709"/>
        <w:rPr>
          <w:rFonts w:ascii="Arial" w:hAnsi="Arial" w:cs="Arial"/>
        </w:rPr>
      </w:pPr>
      <w:r w:rsidRPr="00972E26">
        <w:rPr>
          <w:rFonts w:ascii="Arial" w:hAnsi="Arial" w:cs="Arial"/>
        </w:rPr>
        <w:t>A counter fraud policy statement, strategy and work-plan, and a whistle-blowing policy are in place and are periodically communicated to the council's staff. The Audit and Governance Committee receives periodic reports from the Internal Audit Service of issues being investigated as potential impropriety or fraud, and management's responses to these.</w:t>
      </w:r>
    </w:p>
    <w:p w:rsidR="00057DD5" w:rsidRPr="00972E26" w:rsidRDefault="00057DD5" w:rsidP="00057DD5">
      <w:pPr>
        <w:pStyle w:val="Ruth-headingnumbered"/>
        <w:ind w:left="0" w:firstLine="0"/>
        <w:rPr>
          <w:rFonts w:ascii="Arial" w:hAnsi="Arial" w:cs="Arial"/>
          <w:sz w:val="24"/>
          <w:szCs w:val="24"/>
        </w:rPr>
      </w:pPr>
      <w:r w:rsidRPr="00972E26">
        <w:rPr>
          <w:rFonts w:ascii="Arial" w:hAnsi="Arial" w:cs="Arial"/>
          <w:sz w:val="24"/>
          <w:szCs w:val="24"/>
        </w:rPr>
        <w:lastRenderedPageBreak/>
        <w:t>Do you have knowledge of any actual, suspected or alleged frauds?</w:t>
      </w:r>
    </w:p>
    <w:p w:rsidR="00057DD5" w:rsidRPr="00040E2C" w:rsidRDefault="00057DD5" w:rsidP="00057DD5">
      <w:pPr>
        <w:pStyle w:val="Ruth-numberedparargraph"/>
        <w:ind w:left="709" w:hanging="709"/>
        <w:rPr>
          <w:rFonts w:ascii="Arial" w:hAnsi="Arial" w:cs="Arial"/>
        </w:rPr>
      </w:pPr>
      <w:r w:rsidRPr="00040E2C">
        <w:rPr>
          <w:rFonts w:ascii="Arial" w:hAnsi="Arial" w:cs="Arial"/>
        </w:rPr>
        <w:t>Other than the instances recorded in the 'Whistleblowing, special investigations and counter-fraud</w:t>
      </w:r>
      <w:r>
        <w:rPr>
          <w:rFonts w:ascii="Arial" w:hAnsi="Arial" w:cs="Arial"/>
        </w:rPr>
        <w:t>'</w:t>
      </w:r>
      <w:r w:rsidRPr="00040E2C">
        <w:rPr>
          <w:rFonts w:ascii="Arial" w:hAnsi="Arial" w:cs="Arial"/>
        </w:rPr>
        <w:t xml:space="preserve"> report the Audit and Governance Committee is unaware of any further actual, suspected or alleged frauds.</w:t>
      </w:r>
    </w:p>
    <w:p w:rsidR="00057DD5" w:rsidRDefault="00057DD5" w:rsidP="00057DD5">
      <w:pPr>
        <w:spacing w:after="0" w:line="240" w:lineRule="auto"/>
      </w:pPr>
    </w:p>
    <w:p w:rsidR="00057DD5" w:rsidRDefault="00057DD5" w:rsidP="00057DD5">
      <w:pPr>
        <w:spacing w:after="0" w:line="240" w:lineRule="auto"/>
      </w:pPr>
    </w:p>
    <w:p w:rsidR="00057DD5" w:rsidRDefault="00057DD5" w:rsidP="00057DD5">
      <w:pPr>
        <w:spacing w:after="0" w:line="240" w:lineRule="auto"/>
      </w:pPr>
      <w:r>
        <w:t>Yours sincerely</w:t>
      </w:r>
    </w:p>
    <w:p w:rsidR="00057DD5" w:rsidRDefault="00057DD5" w:rsidP="00057DD5">
      <w:pPr>
        <w:spacing w:after="0" w:line="240" w:lineRule="auto"/>
        <w:jc w:val="both"/>
      </w:pPr>
    </w:p>
    <w:p w:rsidR="00057DD5" w:rsidRDefault="00057DD5" w:rsidP="00057DD5"/>
    <w:p w:rsidR="00057DD5" w:rsidRDefault="002C6736" w:rsidP="00057DD5">
      <w:pPr>
        <w:spacing w:after="0" w:line="240" w:lineRule="auto"/>
        <w:jc w:val="both"/>
      </w:pPr>
      <w:r>
        <w:rPr>
          <w:noProof/>
        </w:rPr>
        <w:tab/>
      </w:r>
    </w:p>
    <w:p w:rsidR="00057DD5" w:rsidRDefault="00057DD5" w:rsidP="00057DD5">
      <w:pPr>
        <w:spacing w:after="0" w:line="240" w:lineRule="auto"/>
        <w:jc w:val="both"/>
      </w:pPr>
    </w:p>
    <w:p w:rsidR="00057DD5" w:rsidRDefault="00057DD5" w:rsidP="00057DD5">
      <w:pPr>
        <w:spacing w:after="0" w:line="240" w:lineRule="auto"/>
        <w:jc w:val="both"/>
      </w:pPr>
      <w:r>
        <w:t>CC Terry Brown</w:t>
      </w:r>
    </w:p>
    <w:p w:rsidR="003F02A1" w:rsidRDefault="00057DD5" w:rsidP="00057DD5">
      <w:r w:rsidRPr="000152F6">
        <w:t>Audit and Governance Committee</w:t>
      </w:r>
      <w:r>
        <w:t xml:space="preserve"> Chair</w:t>
      </w:r>
    </w:p>
    <w:sectPr w:rsidR="003F02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C3" w:rsidRDefault="00E632C3" w:rsidP="00E632C3">
      <w:pPr>
        <w:spacing w:after="0" w:line="240" w:lineRule="auto"/>
      </w:pPr>
      <w:r>
        <w:separator/>
      </w:r>
    </w:p>
  </w:endnote>
  <w:endnote w:type="continuationSeparator" w:id="0">
    <w:p w:rsidR="00E632C3" w:rsidRDefault="00E632C3" w:rsidP="00E6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C3" w:rsidRDefault="00E632C3" w:rsidP="00E632C3">
      <w:pPr>
        <w:spacing w:after="0" w:line="240" w:lineRule="auto"/>
      </w:pPr>
      <w:r>
        <w:separator/>
      </w:r>
    </w:p>
  </w:footnote>
  <w:footnote w:type="continuationSeparator" w:id="0">
    <w:p w:rsidR="00E632C3" w:rsidRDefault="00E632C3" w:rsidP="00E6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rsidP="00E632C3">
    <w:pPr>
      <w:pStyle w:val="Header"/>
      <w:jc w:val="right"/>
    </w:pPr>
    <w:r>
      <w:t xml:space="preserve">Appendix </w:t>
    </w:r>
    <w:r>
      <w:t>B</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3" w:rsidRDefault="00E6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C74B4"/>
    <w:multiLevelType w:val="multilevel"/>
    <w:tmpl w:val="6D9094DA"/>
    <w:lvl w:ilvl="0">
      <w:start w:val="1"/>
      <w:numFmt w:val="decimal"/>
      <w:pStyle w:val="Ruth-headingnumbered"/>
      <w:lvlText w:val="%1."/>
      <w:lvlJc w:val="left"/>
      <w:pPr>
        <w:ind w:left="360" w:hanging="360"/>
      </w:pPr>
      <w:rPr>
        <w:rFonts w:cs="Times New Roman" w:hint="default"/>
      </w:rPr>
    </w:lvl>
    <w:lvl w:ilvl="1">
      <w:start w:val="1"/>
      <w:numFmt w:val="decimal"/>
      <w:pStyle w:val="Ruth-numberedparargraph"/>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D5"/>
    <w:rsid w:val="00057DD5"/>
    <w:rsid w:val="002C6736"/>
    <w:rsid w:val="003F02A1"/>
    <w:rsid w:val="00E632C3"/>
    <w:rsid w:val="00E6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26A2-8234-4011-9808-23DC486C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D5"/>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th-documenttitle">
    <w:name w:val="Ruth - document title"/>
    <w:basedOn w:val="Normal"/>
    <w:link w:val="Ruth-documenttitleChar"/>
    <w:uiPriority w:val="99"/>
    <w:rsid w:val="00057DD5"/>
    <w:pPr>
      <w:spacing w:before="120" w:after="240" w:line="240" w:lineRule="auto"/>
    </w:pPr>
    <w:rPr>
      <w:rFonts w:ascii="Calibri" w:eastAsia="Times New Roman" w:hAnsi="Calibri"/>
      <w:b/>
      <w:sz w:val="32"/>
      <w:szCs w:val="32"/>
      <w:lang w:eastAsia="en-GB"/>
    </w:rPr>
  </w:style>
  <w:style w:type="paragraph" w:customStyle="1" w:styleId="Ruth-headingnumbered">
    <w:name w:val="Ruth - heading numbered"/>
    <w:basedOn w:val="ListParagraph"/>
    <w:link w:val="Ruth-headingnumberedChar"/>
    <w:uiPriority w:val="99"/>
    <w:rsid w:val="00057DD5"/>
    <w:pPr>
      <w:numPr>
        <w:numId w:val="1"/>
      </w:numPr>
      <w:spacing w:before="240" w:after="240" w:line="240" w:lineRule="auto"/>
      <w:contextualSpacing w:val="0"/>
    </w:pPr>
    <w:rPr>
      <w:rFonts w:ascii="Calibri" w:eastAsia="Times New Roman" w:hAnsi="Calibri"/>
      <w:b/>
      <w:sz w:val="28"/>
      <w:szCs w:val="28"/>
      <w:lang w:eastAsia="en-GB"/>
    </w:rPr>
  </w:style>
  <w:style w:type="character" w:customStyle="1" w:styleId="Ruth-documenttitleChar">
    <w:name w:val="Ruth - document title Char"/>
    <w:basedOn w:val="DefaultParagraphFont"/>
    <w:link w:val="Ruth-documenttitle"/>
    <w:uiPriority w:val="99"/>
    <w:locked/>
    <w:rsid w:val="00057DD5"/>
    <w:rPr>
      <w:rFonts w:ascii="Calibri" w:eastAsia="Times New Roman" w:hAnsi="Calibri" w:cs="Times New Roman"/>
      <w:b/>
      <w:sz w:val="32"/>
      <w:szCs w:val="32"/>
      <w:lang w:eastAsia="en-GB"/>
    </w:rPr>
  </w:style>
  <w:style w:type="paragraph" w:customStyle="1" w:styleId="Ruth-numberedparargraph">
    <w:name w:val="Ruth - numbered parargraph"/>
    <w:basedOn w:val="ListParagraph"/>
    <w:link w:val="Ruth-numberedparargraphChar"/>
    <w:uiPriority w:val="99"/>
    <w:rsid w:val="00057DD5"/>
    <w:pPr>
      <w:numPr>
        <w:ilvl w:val="1"/>
        <w:numId w:val="1"/>
      </w:numPr>
      <w:spacing w:before="60" w:after="60" w:line="240" w:lineRule="auto"/>
      <w:contextualSpacing w:val="0"/>
    </w:pPr>
    <w:rPr>
      <w:rFonts w:ascii="Calibri" w:eastAsia="Times New Roman" w:hAnsi="Calibri"/>
      <w:szCs w:val="24"/>
      <w:lang w:eastAsia="en-GB"/>
    </w:rPr>
  </w:style>
  <w:style w:type="character" w:customStyle="1" w:styleId="Ruth-numberedparargraphChar">
    <w:name w:val="Ruth - numbered parargraph Char"/>
    <w:basedOn w:val="DefaultParagraphFont"/>
    <w:link w:val="Ruth-numberedparargraph"/>
    <w:uiPriority w:val="99"/>
    <w:locked/>
    <w:rsid w:val="00057DD5"/>
    <w:rPr>
      <w:rFonts w:ascii="Calibri" w:eastAsia="Times New Roman" w:hAnsi="Calibri" w:cs="Times New Roman"/>
      <w:sz w:val="24"/>
      <w:szCs w:val="24"/>
      <w:lang w:eastAsia="en-GB"/>
    </w:rPr>
  </w:style>
  <w:style w:type="character" w:customStyle="1" w:styleId="Ruth-headingnumberedChar">
    <w:name w:val="Ruth - heading numbered Char"/>
    <w:basedOn w:val="DefaultParagraphFont"/>
    <w:link w:val="Ruth-headingnumbered"/>
    <w:uiPriority w:val="99"/>
    <w:locked/>
    <w:rsid w:val="00057DD5"/>
    <w:rPr>
      <w:rFonts w:ascii="Calibri" w:eastAsia="Times New Roman" w:hAnsi="Calibri" w:cs="Times New Roman"/>
      <w:b/>
      <w:sz w:val="28"/>
      <w:szCs w:val="28"/>
      <w:lang w:eastAsia="en-GB"/>
    </w:rPr>
  </w:style>
  <w:style w:type="paragraph" w:styleId="ListParagraph">
    <w:name w:val="List Paragraph"/>
    <w:basedOn w:val="Normal"/>
    <w:uiPriority w:val="34"/>
    <w:qFormat/>
    <w:rsid w:val="00057DD5"/>
    <w:pPr>
      <w:ind w:left="720"/>
      <w:contextualSpacing/>
    </w:pPr>
  </w:style>
  <w:style w:type="paragraph" w:styleId="BalloonText">
    <w:name w:val="Balloon Text"/>
    <w:basedOn w:val="Normal"/>
    <w:link w:val="BalloonTextChar"/>
    <w:uiPriority w:val="99"/>
    <w:semiHidden/>
    <w:unhideWhenUsed/>
    <w:rsid w:val="002C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36"/>
    <w:rPr>
      <w:rFonts w:ascii="Segoe UI" w:eastAsia="Calibri" w:hAnsi="Segoe UI" w:cs="Segoe UI"/>
      <w:sz w:val="18"/>
      <w:szCs w:val="18"/>
    </w:rPr>
  </w:style>
  <w:style w:type="paragraph" w:styleId="Header">
    <w:name w:val="header"/>
    <w:basedOn w:val="Normal"/>
    <w:link w:val="HeaderChar"/>
    <w:uiPriority w:val="99"/>
    <w:unhideWhenUsed/>
    <w:rsid w:val="00E6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C3"/>
    <w:rPr>
      <w:rFonts w:ascii="Arial" w:eastAsia="Calibri" w:hAnsi="Arial" w:cs="Times New Roman"/>
      <w:sz w:val="24"/>
    </w:rPr>
  </w:style>
  <w:style w:type="paragraph" w:styleId="Footer">
    <w:name w:val="footer"/>
    <w:basedOn w:val="Normal"/>
    <w:link w:val="FooterChar"/>
    <w:uiPriority w:val="99"/>
    <w:unhideWhenUsed/>
    <w:rsid w:val="00E6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C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Carl</dc:creator>
  <cp:keywords/>
  <dc:description/>
  <cp:lastModifiedBy>Mather, Chris</cp:lastModifiedBy>
  <cp:revision>3</cp:revision>
  <cp:lastPrinted>2015-06-17T15:04:00Z</cp:lastPrinted>
  <dcterms:created xsi:type="dcterms:W3CDTF">2015-06-17T15:57:00Z</dcterms:created>
  <dcterms:modified xsi:type="dcterms:W3CDTF">2015-06-22T13:30:00Z</dcterms:modified>
</cp:coreProperties>
</file>